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7FDB" w14:textId="4502BBEF" w:rsidR="00963541" w:rsidRDefault="00963541" w:rsidP="00335AB4">
      <w:pPr>
        <w:spacing w:line="276" w:lineRule="auto"/>
      </w:pPr>
    </w:p>
    <w:p w14:paraId="14F09A0A" w14:textId="6D523FC8" w:rsidR="000D7FA1" w:rsidRDefault="000D7FA1" w:rsidP="00335AB4">
      <w:pPr>
        <w:spacing w:line="276" w:lineRule="auto"/>
      </w:pPr>
    </w:p>
    <w:p w14:paraId="21681795" w14:textId="33BA8F74" w:rsidR="000D7FA1" w:rsidRPr="000D7FA1" w:rsidRDefault="000D7FA1" w:rsidP="000D7FA1">
      <w:pPr>
        <w:spacing w:before="120" w:after="120"/>
        <w:rPr>
          <w:rFonts w:ascii="Aptos" w:eastAsia="Times New Roman" w:hAnsi="Aptos"/>
          <w:color w:val="000000"/>
          <w:sz w:val="28"/>
          <w:szCs w:val="28"/>
        </w:rPr>
      </w:pPr>
      <w:r w:rsidRPr="000D7FA1">
        <w:rPr>
          <w:rFonts w:ascii="Aptos" w:eastAsia="Times New Roman" w:hAnsi="Aptos"/>
          <w:b/>
          <w:bCs/>
          <w:color w:val="000000"/>
          <w:sz w:val="28"/>
          <w:szCs w:val="28"/>
        </w:rPr>
        <w:t>Professionelle Lerngemeinschaft</w:t>
      </w:r>
      <w:r w:rsidRPr="000D7FA1">
        <w:rPr>
          <w:rFonts w:ascii="Aptos" w:eastAsia="Times New Roman" w:hAnsi="Aptos"/>
          <w:b/>
          <w:bCs/>
          <w:color w:val="000000"/>
          <w:sz w:val="28"/>
          <w:szCs w:val="28"/>
        </w:rPr>
        <w:t>en</w:t>
      </w:r>
      <w:r w:rsidRPr="000D7FA1">
        <w:rPr>
          <w:rFonts w:ascii="Aptos" w:eastAsia="Times New Roman" w:hAnsi="Aptos"/>
          <w:b/>
          <w:bCs/>
          <w:color w:val="000000"/>
          <w:sz w:val="28"/>
          <w:szCs w:val="28"/>
        </w:rPr>
        <w:t xml:space="preserve"> PLG</w:t>
      </w:r>
    </w:p>
    <w:p w14:paraId="6718406B" w14:textId="77777777" w:rsidR="000D7FA1" w:rsidRDefault="000D7FA1" w:rsidP="000D7FA1">
      <w:pPr>
        <w:spacing w:before="120" w:after="120"/>
        <w:rPr>
          <w:rFonts w:ascii="Aptos" w:eastAsia="Times New Roman" w:hAnsi="Aptos"/>
          <w:color w:val="000000"/>
          <w:sz w:val="24"/>
          <w:szCs w:val="24"/>
        </w:rPr>
      </w:pPr>
    </w:p>
    <w:p w14:paraId="32B2A5C8" w14:textId="77777777" w:rsidR="000D7FA1" w:rsidRDefault="000D7FA1" w:rsidP="000D7FA1">
      <w:pPr>
        <w:spacing w:before="120" w:after="120"/>
        <w:rPr>
          <w:rFonts w:ascii="Aptos" w:eastAsia="Times New Roman" w:hAnsi="Aptos"/>
          <w:color w:val="000000"/>
          <w:sz w:val="24"/>
          <w:szCs w:val="24"/>
        </w:rPr>
      </w:pPr>
      <w:r w:rsidRPr="000D7FA1">
        <w:rPr>
          <w:rFonts w:ascii="Aptos" w:eastAsia="Times New Roman" w:hAnsi="Aptos"/>
          <w:b/>
          <w:bCs/>
          <w:color w:val="000000"/>
          <w:sz w:val="24"/>
          <w:szCs w:val="24"/>
          <w:u w:val="single"/>
        </w:rPr>
        <w:t>OVP §11 (2)</w:t>
      </w:r>
      <w:r w:rsidRPr="000D7FA1">
        <w:rPr>
          <w:rFonts w:ascii="Aptos" w:eastAsia="Times New Roman" w:hAnsi="Aptos"/>
          <w:b/>
          <w:bCs/>
          <w:color w:val="000000"/>
          <w:sz w:val="24"/>
          <w:szCs w:val="24"/>
          <w:u w:val="single"/>
        </w:rPr>
        <w:t>:</w:t>
      </w:r>
      <w:r>
        <w:rPr>
          <w:rFonts w:ascii="Aptos" w:eastAsia="Times New Roman" w:hAnsi="Aptos"/>
          <w:color w:val="000000"/>
          <w:sz w:val="24"/>
          <w:szCs w:val="24"/>
        </w:rPr>
        <w:t xml:space="preserve"> </w:t>
      </w:r>
      <w:r>
        <w:rPr>
          <w:rFonts w:ascii="Aptos" w:eastAsia="Times New Roman" w:hAnsi="Aptos"/>
          <w:color w:val="000000"/>
          <w:sz w:val="24"/>
          <w:szCs w:val="24"/>
        </w:rPr>
        <w:t> </w:t>
      </w:r>
    </w:p>
    <w:p w14:paraId="611A957A" w14:textId="355A3040"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w:t>
      </w:r>
      <w:r>
        <w:rPr>
          <w:rFonts w:ascii="Aptos" w:eastAsia="Times New Roman" w:hAnsi="Aptos"/>
          <w:color w:val="000000"/>
          <w:sz w:val="24"/>
          <w:szCs w:val="24"/>
        </w:rPr>
        <w:t>(...) Professionelle Lerngemeinschaften, in denen Lehramtsanwärterinnen und Lehramts</w:t>
      </w:r>
      <w:r>
        <w:rPr>
          <w:rFonts w:ascii="Aptos" w:eastAsia="Times New Roman" w:hAnsi="Aptos"/>
          <w:color w:val="000000"/>
          <w:sz w:val="24"/>
          <w:szCs w:val="24"/>
        </w:rPr>
        <w:t>-</w:t>
      </w:r>
      <w:r>
        <w:rPr>
          <w:rFonts w:ascii="Aptos" w:eastAsia="Times New Roman" w:hAnsi="Aptos"/>
          <w:color w:val="000000"/>
          <w:sz w:val="24"/>
          <w:szCs w:val="24"/>
        </w:rPr>
        <w:t>anwärter zusammenarbeiten, sind Bestandteil dieser Ausbildung und so anzulegen, dass sie sich an der fachlichen und überfachlichen Seminararbeit orientieren. Die Seminarausbilderinnen und Seminarausbilder verantworten die Organisation, Steuerung und Rückkoppelung der professionellen Lerngemeinschaften gemäß dem lehramtsbezogenen Ausbildungsprogramm.”</w:t>
      </w:r>
      <w:r>
        <w:rPr>
          <w:rFonts w:ascii="Aptos" w:eastAsia="Times New Roman" w:hAnsi="Aptos"/>
          <w:color w:val="000000"/>
          <w:sz w:val="24"/>
          <w:szCs w:val="24"/>
        </w:rPr>
        <w:br/>
      </w:r>
    </w:p>
    <w:p w14:paraId="1F50EEF2" w14:textId="77777777" w:rsidR="000D7FA1" w:rsidRDefault="000D7FA1" w:rsidP="000D7FA1">
      <w:pPr>
        <w:spacing w:before="120" w:after="120"/>
        <w:rPr>
          <w:rFonts w:ascii="Aptos" w:eastAsia="Times New Roman" w:hAnsi="Aptos"/>
          <w:color w:val="000000"/>
          <w:sz w:val="24"/>
          <w:szCs w:val="24"/>
        </w:rPr>
      </w:pPr>
      <w:r w:rsidRPr="000D7FA1">
        <w:rPr>
          <w:rFonts w:ascii="Aptos" w:eastAsia="Times New Roman" w:hAnsi="Aptos"/>
          <w:b/>
          <w:bCs/>
          <w:color w:val="000000"/>
          <w:sz w:val="24"/>
          <w:szCs w:val="24"/>
          <w:u w:val="single"/>
        </w:rPr>
        <w:t>Kerncurriculum für die Lehrerausbildung im Vorbereitungsdienst 2021, MSB, S.6</w:t>
      </w:r>
      <w:r w:rsidRPr="000D7FA1">
        <w:rPr>
          <w:rFonts w:ascii="Aptos" w:eastAsia="Times New Roman" w:hAnsi="Aptos"/>
          <w:b/>
          <w:bCs/>
          <w:color w:val="000000"/>
          <w:sz w:val="24"/>
          <w:szCs w:val="24"/>
          <w:u w:val="single"/>
        </w:rPr>
        <w:t>:</w:t>
      </w:r>
      <w:r>
        <w:rPr>
          <w:rFonts w:ascii="Aptos" w:eastAsia="Times New Roman" w:hAnsi="Aptos"/>
          <w:color w:val="000000"/>
          <w:sz w:val="24"/>
          <w:szCs w:val="24"/>
        </w:rPr>
        <w:t xml:space="preserve"> </w:t>
      </w:r>
    </w:p>
    <w:p w14:paraId="53E5512C" w14:textId="0BF559D4"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Dem </w:t>
      </w:r>
      <w:r>
        <w:rPr>
          <w:rFonts w:ascii="Aptos" w:eastAsia="Times New Roman" w:hAnsi="Aptos"/>
          <w:b/>
          <w:bCs/>
          <w:color w:val="000000"/>
          <w:sz w:val="24"/>
          <w:szCs w:val="24"/>
        </w:rPr>
        <w:t>berufsbiografischen Prozess</w:t>
      </w:r>
      <w:r>
        <w:rPr>
          <w:rFonts w:ascii="Aptos" w:eastAsia="Times New Roman" w:hAnsi="Aptos"/>
          <w:color w:val="000000"/>
          <w:sz w:val="24"/>
          <w:szCs w:val="24"/>
        </w:rPr>
        <w:t> entsprechend erfolgt der Kompetenzerwerb in der zweiten Phase der Lehrerausbildung mit Rekurs auf </w:t>
      </w:r>
      <w:r>
        <w:rPr>
          <w:rFonts w:ascii="Aptos" w:eastAsia="Times New Roman" w:hAnsi="Aptos"/>
          <w:b/>
          <w:bCs/>
          <w:color w:val="000000"/>
          <w:sz w:val="24"/>
          <w:szCs w:val="24"/>
        </w:rPr>
        <w:t>Bezüge zur ersten Phase</w:t>
      </w:r>
      <w:r>
        <w:rPr>
          <w:rFonts w:ascii="Aptos" w:eastAsia="Times New Roman" w:hAnsi="Aptos"/>
          <w:color w:val="000000"/>
          <w:sz w:val="24"/>
          <w:szCs w:val="24"/>
        </w:rPr>
        <w:t>, dem Studium. Der mehrere Ausbildungsphasen umfassende Kompetenzerwerb setzt insgesamt die Fähigkeit zum </w:t>
      </w:r>
      <w:r>
        <w:rPr>
          <w:rFonts w:ascii="Aptos" w:eastAsia="Times New Roman" w:hAnsi="Aptos"/>
          <w:b/>
          <w:bCs/>
          <w:color w:val="000000"/>
          <w:sz w:val="24"/>
          <w:szCs w:val="24"/>
        </w:rPr>
        <w:t>selbstständigen Lernen</w:t>
      </w:r>
      <w:r>
        <w:rPr>
          <w:rFonts w:ascii="Aptos" w:eastAsia="Times New Roman" w:hAnsi="Aptos"/>
          <w:color w:val="000000"/>
          <w:sz w:val="24"/>
          <w:szCs w:val="24"/>
        </w:rPr>
        <w:t> voraus. Die SAB unterstützen die LAA dabei durch Berücksichtigung ihrer</w:t>
      </w:r>
      <w:r>
        <w:rPr>
          <w:rFonts w:ascii="Aptos" w:eastAsia="Times New Roman" w:hAnsi="Aptos"/>
          <w:b/>
          <w:bCs/>
          <w:color w:val="000000"/>
          <w:sz w:val="24"/>
          <w:szCs w:val="24"/>
        </w:rPr>
        <w:t> individuellen Entwicklungsbedarfe</w:t>
      </w:r>
      <w:r>
        <w:rPr>
          <w:rFonts w:ascii="Aptos" w:eastAsia="Times New Roman" w:hAnsi="Aptos"/>
          <w:color w:val="000000"/>
          <w:sz w:val="24"/>
          <w:szCs w:val="24"/>
        </w:rPr>
        <w:t> und die Schaffung </w:t>
      </w:r>
      <w:r>
        <w:rPr>
          <w:rFonts w:ascii="Aptos" w:eastAsia="Times New Roman" w:hAnsi="Aptos"/>
          <w:b/>
          <w:bCs/>
          <w:color w:val="000000"/>
          <w:sz w:val="24"/>
          <w:szCs w:val="24"/>
        </w:rPr>
        <w:t>personalisierter Ausbildungsformate in Präsenz und Distanz </w:t>
      </w:r>
      <w:r>
        <w:rPr>
          <w:rFonts w:ascii="Aptos" w:eastAsia="Times New Roman" w:hAnsi="Aptos"/>
          <w:color w:val="000000"/>
          <w:sz w:val="24"/>
          <w:szCs w:val="24"/>
        </w:rPr>
        <w:t>auch unter Nutzung digitaler Möglichkeiten.  </w:t>
      </w:r>
    </w:p>
    <w:p w14:paraId="0E8254F2" w14:textId="77777777" w:rsidR="000D7FA1" w:rsidRDefault="000D7FA1" w:rsidP="000D7FA1">
      <w:pPr>
        <w:spacing w:before="120" w:after="120"/>
        <w:rPr>
          <w:rFonts w:ascii="Aptos" w:eastAsia="Times New Roman" w:hAnsi="Aptos"/>
          <w:color w:val="000000"/>
          <w:sz w:val="24"/>
          <w:szCs w:val="24"/>
        </w:rPr>
      </w:pPr>
    </w:p>
    <w:p w14:paraId="001BFBB6" w14:textId="77777777" w:rsidR="000D7FA1" w:rsidRDefault="000D7FA1" w:rsidP="000D7FA1">
      <w:pPr>
        <w:spacing w:before="120" w:after="120"/>
        <w:rPr>
          <w:rFonts w:ascii="Aptos" w:eastAsia="Times New Roman" w:hAnsi="Aptos"/>
          <w:color w:val="000000"/>
          <w:sz w:val="24"/>
          <w:szCs w:val="24"/>
        </w:rPr>
      </w:pPr>
      <w:r w:rsidRPr="000D7FA1">
        <w:rPr>
          <w:rFonts w:ascii="Aptos" w:eastAsia="Times New Roman" w:hAnsi="Aptos"/>
          <w:b/>
          <w:bCs/>
          <w:color w:val="000000"/>
          <w:sz w:val="24"/>
          <w:szCs w:val="24"/>
          <w:u w:val="single"/>
        </w:rPr>
        <w:t>Ziel: </w:t>
      </w:r>
    </w:p>
    <w:p w14:paraId="1F67D562" w14:textId="5E83C4A6"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Das Ziel der PLG ist die Stärkung der individuell, eigenverantwortlich und reflektierenden Lernenden, die Kooperation und Austausch nutzen, um ihre berufsbezogenen Kompetenzen auf- und auszubauen. </w:t>
      </w:r>
    </w:p>
    <w:p w14:paraId="6D71E69E" w14:textId="77777777"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 </w:t>
      </w:r>
    </w:p>
    <w:p w14:paraId="45A92951" w14:textId="20244992"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Vor diesem Hintergrund ermöglichen wir Ihnen die Arbeit in der Professionellen Lerng</w:t>
      </w:r>
      <w:r>
        <w:rPr>
          <w:rFonts w:ascii="Aptos" w:eastAsia="Times New Roman" w:hAnsi="Aptos"/>
          <w:color w:val="000000"/>
          <w:sz w:val="24"/>
          <w:szCs w:val="24"/>
        </w:rPr>
        <w:t>emeinschaft</w:t>
      </w:r>
      <w:r>
        <w:rPr>
          <w:rFonts w:ascii="Aptos" w:eastAsia="Times New Roman" w:hAnsi="Aptos"/>
          <w:color w:val="000000"/>
          <w:sz w:val="24"/>
          <w:szCs w:val="24"/>
        </w:rPr>
        <w:t> auf Grundlage ihrer individuellen Entwicklungsbedürfnisse.  </w:t>
      </w:r>
    </w:p>
    <w:p w14:paraId="05A2F440" w14:textId="77777777"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Weitere Informationen erhalten die Auszubildenden im Rahmen einer Kernseminarveranstaltung.  </w:t>
      </w:r>
    </w:p>
    <w:p w14:paraId="5780FD56" w14:textId="77777777" w:rsidR="000D7FA1" w:rsidRDefault="000D7FA1" w:rsidP="000D7FA1">
      <w:pPr>
        <w:spacing w:before="120" w:after="120"/>
        <w:rPr>
          <w:rFonts w:ascii="Aptos" w:eastAsia="Times New Roman" w:hAnsi="Aptos"/>
          <w:color w:val="000000"/>
          <w:sz w:val="24"/>
          <w:szCs w:val="24"/>
        </w:rPr>
      </w:pPr>
      <w:r>
        <w:rPr>
          <w:rFonts w:ascii="Aptos" w:eastAsia="Times New Roman" w:hAnsi="Aptos"/>
          <w:color w:val="000000"/>
          <w:sz w:val="24"/>
          <w:szCs w:val="24"/>
        </w:rPr>
        <w:t> </w:t>
      </w:r>
    </w:p>
    <w:p w14:paraId="0765C6CF" w14:textId="77777777" w:rsidR="000D7FA1" w:rsidRDefault="000D7FA1" w:rsidP="00335AB4">
      <w:pPr>
        <w:spacing w:line="276" w:lineRule="auto"/>
      </w:pPr>
    </w:p>
    <w:sectPr w:rsidR="000D7FA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758C" w14:textId="77777777" w:rsidR="00AE00AF" w:rsidRDefault="00AE00AF" w:rsidP="0022249C">
      <w:r>
        <w:separator/>
      </w:r>
    </w:p>
  </w:endnote>
  <w:endnote w:type="continuationSeparator" w:id="0">
    <w:p w14:paraId="0029B57C" w14:textId="77777777" w:rsidR="00AE00AF" w:rsidRDefault="00AE00AF" w:rsidP="0022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38D3" w14:textId="77777777" w:rsidR="00AE00AF" w:rsidRDefault="00AE00AF" w:rsidP="0022249C">
      <w:r>
        <w:separator/>
      </w:r>
    </w:p>
  </w:footnote>
  <w:footnote w:type="continuationSeparator" w:id="0">
    <w:p w14:paraId="6A63429D" w14:textId="77777777" w:rsidR="00AE00AF" w:rsidRDefault="00AE00AF" w:rsidP="0022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A38A" w14:textId="77777777" w:rsidR="0022249C" w:rsidRDefault="0022249C" w:rsidP="0022249C">
    <w:r w:rsidRPr="00D848A9">
      <w:rPr>
        <w:rFonts w:cstheme="minorHAnsi"/>
        <w:sz w:val="24"/>
        <w:szCs w:val="24"/>
      </w:rPr>
      <w:t>ZfsL Kleve – Seminar G</w:t>
    </w:r>
    <w:r>
      <w:t xml:space="preserve">                                                                                                                       </w:t>
    </w:r>
    <w:r w:rsidRPr="00D848A9">
      <w:rPr>
        <w:noProof/>
      </w:rPr>
      <w:drawing>
        <wp:inline distT="0" distB="0" distL="0" distR="0" wp14:anchorId="69A71819" wp14:editId="4A54757D">
          <wp:extent cx="582610" cy="5715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6758" cy="614806"/>
                  </a:xfrm>
                  <a:prstGeom prst="rect">
                    <a:avLst/>
                  </a:prstGeom>
                </pic:spPr>
              </pic:pic>
            </a:graphicData>
          </a:graphic>
        </wp:inline>
      </w:drawing>
    </w:r>
    <w:r>
      <w:b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369"/>
    <w:multiLevelType w:val="hybridMultilevel"/>
    <w:tmpl w:val="F272A9DA"/>
    <w:lvl w:ilvl="0" w:tplc="AB3A7CCC">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FF038D"/>
    <w:multiLevelType w:val="hybridMultilevel"/>
    <w:tmpl w:val="514C2DE6"/>
    <w:lvl w:ilvl="0" w:tplc="608E83E4">
      <w:start w:val="1"/>
      <w:numFmt w:val="decimal"/>
      <w:lvlText w:val="%1."/>
      <w:lvlJc w:val="left"/>
      <w:pPr>
        <w:ind w:left="78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002157"/>
    <w:multiLevelType w:val="multilevel"/>
    <w:tmpl w:val="7FD452E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59326B"/>
    <w:multiLevelType w:val="hybridMultilevel"/>
    <w:tmpl w:val="FD52C6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A9"/>
    <w:rsid w:val="000D7FA1"/>
    <w:rsid w:val="0022249C"/>
    <w:rsid w:val="00335AB4"/>
    <w:rsid w:val="007B273C"/>
    <w:rsid w:val="00963541"/>
    <w:rsid w:val="00AE00AF"/>
    <w:rsid w:val="00B76126"/>
    <w:rsid w:val="00D848A9"/>
    <w:rsid w:val="00E51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13FC"/>
  <w15:chartTrackingRefBased/>
  <w15:docId w15:val="{A89FF6CF-A13C-4A9B-AEBD-3CA2AB9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AB4"/>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249C"/>
    <w:pPr>
      <w:tabs>
        <w:tab w:val="center" w:pos="4536"/>
        <w:tab w:val="right" w:pos="9072"/>
      </w:tabs>
    </w:pPr>
  </w:style>
  <w:style w:type="character" w:customStyle="1" w:styleId="KopfzeileZchn">
    <w:name w:val="Kopfzeile Zchn"/>
    <w:basedOn w:val="Absatz-Standardschriftart"/>
    <w:link w:val="Kopfzeile"/>
    <w:uiPriority w:val="99"/>
    <w:rsid w:val="0022249C"/>
  </w:style>
  <w:style w:type="paragraph" w:styleId="Fuzeile">
    <w:name w:val="footer"/>
    <w:basedOn w:val="Standard"/>
    <w:link w:val="FuzeileZchn"/>
    <w:uiPriority w:val="99"/>
    <w:unhideWhenUsed/>
    <w:rsid w:val="0022249C"/>
    <w:pPr>
      <w:tabs>
        <w:tab w:val="center" w:pos="4536"/>
        <w:tab w:val="right" w:pos="9072"/>
      </w:tabs>
    </w:pPr>
  </w:style>
  <w:style w:type="character" w:customStyle="1" w:styleId="FuzeileZchn">
    <w:name w:val="Fußzeile Zchn"/>
    <w:basedOn w:val="Absatz-Standardschriftart"/>
    <w:link w:val="Fuzeile"/>
    <w:uiPriority w:val="99"/>
    <w:rsid w:val="0022249C"/>
  </w:style>
  <w:style w:type="paragraph" w:styleId="Listenabsatz">
    <w:name w:val="List Paragraph"/>
    <w:basedOn w:val="Standard"/>
    <w:uiPriority w:val="34"/>
    <w:qFormat/>
    <w:rsid w:val="00335AB4"/>
    <w:pPr>
      <w:ind w:left="720"/>
      <w:contextualSpacing/>
    </w:pPr>
  </w:style>
  <w:style w:type="character" w:styleId="Hyperlink">
    <w:name w:val="Hyperlink"/>
    <w:basedOn w:val="Absatz-Standardschriftart"/>
    <w:uiPriority w:val="99"/>
    <w:unhideWhenUsed/>
    <w:rsid w:val="00963541"/>
    <w:rPr>
      <w:color w:val="0563C1" w:themeColor="hyperlink"/>
      <w:u w:val="single"/>
    </w:rPr>
  </w:style>
  <w:style w:type="paragraph" w:customStyle="1" w:styleId="rvfliesstext175nb">
    <w:name w:val="rv_fliesstext_1_75_n_b"/>
    <w:basedOn w:val="Standard"/>
    <w:rsid w:val="00963541"/>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63541"/>
    <w:rPr>
      <w:sz w:val="16"/>
      <w:szCs w:val="16"/>
    </w:rPr>
  </w:style>
  <w:style w:type="paragraph" w:styleId="Kommentartext">
    <w:name w:val="annotation text"/>
    <w:basedOn w:val="Standard"/>
    <w:link w:val="KommentartextZchn"/>
    <w:uiPriority w:val="99"/>
    <w:unhideWhenUsed/>
    <w:rsid w:val="00963541"/>
    <w:pPr>
      <w:spacing w:after="160"/>
    </w:pPr>
    <w:rPr>
      <w:rFonts w:ascii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963541"/>
    <w:rPr>
      <w:kern w:val="2"/>
      <w:sz w:val="20"/>
      <w:szCs w:val="20"/>
      <w14:ligatures w14:val="standardContextual"/>
    </w:rPr>
  </w:style>
  <w:style w:type="paragraph" w:customStyle="1" w:styleId="Default">
    <w:name w:val="Default"/>
    <w:rsid w:val="0096354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Kommentarthema">
    <w:name w:val="annotation subject"/>
    <w:basedOn w:val="Kommentartext"/>
    <w:next w:val="Kommentartext"/>
    <w:link w:val="KommentarthemaZchn"/>
    <w:uiPriority w:val="99"/>
    <w:semiHidden/>
    <w:unhideWhenUsed/>
    <w:rsid w:val="00963541"/>
    <w:pPr>
      <w:spacing w:after="0"/>
    </w:pPr>
    <w:rPr>
      <w:rFonts w:ascii="Calibri" w:hAnsi="Calibri" w:cs="Calibri"/>
      <w:b/>
      <w:bCs/>
      <w:kern w:val="0"/>
      <w14:ligatures w14:val="none"/>
    </w:rPr>
  </w:style>
  <w:style w:type="character" w:customStyle="1" w:styleId="KommentarthemaZchn">
    <w:name w:val="Kommentarthema Zchn"/>
    <w:basedOn w:val="KommentartextZchn"/>
    <w:link w:val="Kommentarthema"/>
    <w:uiPriority w:val="99"/>
    <w:semiHidden/>
    <w:rsid w:val="00963541"/>
    <w:rPr>
      <w:rFonts w:ascii="Calibri" w:hAnsi="Calibri" w:cs="Calibr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D1335-2F09-4356-859F-F7B06470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Feustel, Andrea</dc:creator>
  <cp:keywords/>
  <dc:description/>
  <cp:lastModifiedBy>Feustel, Andrea (ZfsL)</cp:lastModifiedBy>
  <cp:revision>2</cp:revision>
  <cp:lastPrinted>2025-06-11T12:40:00Z</cp:lastPrinted>
  <dcterms:created xsi:type="dcterms:W3CDTF">2026-04-16T10:21:00Z</dcterms:created>
  <dcterms:modified xsi:type="dcterms:W3CDTF">2026-04-16T10:21:00Z</dcterms:modified>
</cp:coreProperties>
</file>